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b/>
          <w:sz w:val="28"/>
          <w:szCs w:val="28"/>
        </w:rPr>
      </w:pPr>
      <w:r>
        <w:rPr>
          <w:rFonts w:hint="eastAsia"/>
          <w:b/>
          <w:sz w:val="28"/>
          <w:szCs w:val="28"/>
        </w:rPr>
        <w:t>西华大学2</w:t>
      </w:r>
      <w:r>
        <w:rPr>
          <w:b/>
          <w:sz w:val="28"/>
          <w:szCs w:val="28"/>
        </w:rPr>
        <w:t>024</w:t>
      </w:r>
      <w:r>
        <w:rPr>
          <w:rFonts w:hint="eastAsia"/>
          <w:b/>
          <w:sz w:val="28"/>
          <w:szCs w:val="28"/>
        </w:rPr>
        <w:t>年信息化项目评价申报表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2" w:type="dxa"/>
            <w:vAlign w:val="center"/>
          </w:tcPr>
          <w:p>
            <w:pPr>
              <w:jc w:val="center"/>
              <w:rPr>
                <w:b/>
              </w:rPr>
            </w:pPr>
            <w:r>
              <w:rPr>
                <w:rFonts w:hint="eastAsia"/>
                <w:b/>
              </w:rPr>
              <w:t>申请单位</w:t>
            </w:r>
          </w:p>
          <w:p>
            <w:pPr>
              <w:jc w:val="center"/>
              <w:rPr>
                <w:b/>
              </w:rPr>
            </w:pPr>
            <w:r>
              <w:rPr>
                <w:rFonts w:hint="eastAsia"/>
                <w:b/>
              </w:rPr>
              <w:t>（负责人签字盖章）</w:t>
            </w:r>
          </w:p>
        </w:tc>
        <w:tc>
          <w:tcPr>
            <w:tcW w:w="7282" w:type="dxa"/>
            <w:vAlign w:val="center"/>
          </w:tcPr>
          <w:p>
            <w:pPr>
              <w:jc w:val="left"/>
              <w:rPr>
                <w:rFonts w:hint="default" w:eastAsiaTheme="minorEastAsia"/>
                <w:lang w:val="en-US" w:eastAsia="zh-CN"/>
              </w:rPr>
            </w:pPr>
            <w:r>
              <w:rPr>
                <w:rFonts w:hint="eastAsia"/>
                <w:lang w:val="en-US" w:eastAsia="zh-CN"/>
              </w:rPr>
              <w:t>党委学生工作部（武装部、学生工作处）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2" w:type="dxa"/>
            <w:vAlign w:val="center"/>
          </w:tcPr>
          <w:p>
            <w:pPr>
              <w:jc w:val="center"/>
              <w:rPr>
                <w:b/>
              </w:rPr>
            </w:pPr>
            <w:r>
              <w:rPr>
                <w:rFonts w:hint="eastAsia"/>
                <w:b/>
              </w:rPr>
              <w:t>项目名称</w:t>
            </w:r>
          </w:p>
        </w:tc>
        <w:tc>
          <w:tcPr>
            <w:tcW w:w="7282" w:type="dxa"/>
            <w:vAlign w:val="center"/>
          </w:tcPr>
          <w:p>
            <w:pPr>
              <w:jc w:val="left"/>
            </w:pPr>
            <w:r>
              <w:rPr>
                <w:rFonts w:hint="eastAsia"/>
              </w:rPr>
              <w:t>一站式数字社区管理系统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2" w:type="dxa"/>
            <w:vAlign w:val="center"/>
          </w:tcPr>
          <w:p>
            <w:pPr>
              <w:jc w:val="center"/>
              <w:rPr>
                <w:b/>
              </w:rPr>
            </w:pPr>
            <w:r>
              <w:rPr>
                <w:rFonts w:hint="eastAsia"/>
                <w:b/>
              </w:rPr>
              <w:t>项目负责人</w:t>
            </w:r>
          </w:p>
          <w:p>
            <w:pPr>
              <w:jc w:val="center"/>
              <w:rPr>
                <w:b/>
              </w:rPr>
            </w:pPr>
            <w:r>
              <w:rPr>
                <w:rFonts w:hint="eastAsia"/>
                <w:b/>
              </w:rPr>
              <w:t>（签字）</w:t>
            </w:r>
          </w:p>
        </w:tc>
        <w:tc>
          <w:tcPr>
            <w:tcW w:w="7282"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2" w:type="dxa"/>
            <w:vAlign w:val="center"/>
          </w:tcPr>
          <w:p>
            <w:pPr>
              <w:jc w:val="center"/>
              <w:rPr>
                <w:b/>
              </w:rPr>
            </w:pPr>
            <w:r>
              <w:rPr>
                <w:rFonts w:hint="eastAsia"/>
                <w:b/>
              </w:rPr>
              <w:t>分管校领导</w:t>
            </w:r>
          </w:p>
          <w:p>
            <w:pPr>
              <w:jc w:val="center"/>
              <w:rPr>
                <w:b/>
              </w:rPr>
            </w:pPr>
            <w:r>
              <w:rPr>
                <w:rFonts w:hint="eastAsia"/>
                <w:b/>
              </w:rPr>
              <w:t>（签字）</w:t>
            </w:r>
          </w:p>
        </w:tc>
        <w:tc>
          <w:tcPr>
            <w:tcW w:w="7282"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3" w:hRule="atLeast"/>
          <w:jc w:val="center"/>
        </w:trPr>
        <w:tc>
          <w:tcPr>
            <w:tcW w:w="2012" w:type="dxa"/>
            <w:vAlign w:val="center"/>
          </w:tcPr>
          <w:p>
            <w:pPr>
              <w:jc w:val="center"/>
              <w:rPr>
                <w:b/>
              </w:rPr>
            </w:pPr>
            <w:r>
              <w:rPr>
                <w:rFonts w:hint="eastAsia"/>
                <w:b/>
              </w:rPr>
              <w:t>项目建设概要</w:t>
            </w:r>
          </w:p>
        </w:tc>
        <w:tc>
          <w:tcPr>
            <w:tcW w:w="728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eastAsia"/>
                <w:b/>
                <w:bCs/>
                <w:lang w:val="en-US" w:eastAsia="zh-CN"/>
              </w:rPr>
            </w:pPr>
            <w:r>
              <w:rPr>
                <w:rFonts w:hint="eastAsia"/>
                <w:b/>
                <w:bCs/>
                <w:lang w:val="en-US" w:eastAsia="zh-CN"/>
              </w:rPr>
              <w:t>项目建设背景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为了加强对学工日常管理工作的信息化，解放辅导员日常繁琐的事务处理，让学工管理人员可以将更多的精力聚焦到对学生的关注中，我校从2022年起，开工建设了“学生管理平台”“请假注册平台”“宿舍管理平台”等围绕学生服务的信息化系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eastAsia"/>
                <w:lang w:val="en-US" w:eastAsia="zh-CN"/>
              </w:rPr>
              <w:t>通过对学工日常管理工作进行信息化，解放了辅导员日常繁琐的事务处理，让学工管理人员可以将更多的精力聚焦到对学生的关注中。同时，能够打通学生的各项数据共享，提供一个更加全面、标准的学生画像，能够以更小的成本，显示更大的管理成效。通过近两年的学工相关业务系统建设，为学校创造了更好的育人管理环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近年来，在高校实施“学分制”“大类培养”等改革的背景下,“同班不同学”“同学不同班”成为常态，传统的班级建制管理方式受到越来越多的挑战，学生社区日渐成为学生交流互动最经常最稳定的场所，成为课堂之外的重要教育阵地。在此背景下，2019年，教育部推进“一站式”学生社区综合管理模式建设工作，成为中国特色社会主义大学治理体系下学生管理模式改革的重要抓手和实现途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在“一站式”学生社区综合管理模式建设过程中，教育部指导各地各高校不断强化“以学生为中心”的办学治校理念，进一步提升围绕学生、关照学生、服务学生的工作质量，在学生社区逐步探索形成一站式集成、网格化管理、精细化服务、信息化支撑的综合管理模式，构筑学生党建前沿阵地、建设“三全育人”实践园地、打造智慧服务创新基地、争创平安校园样板高地，将高校育人力量和资源整体下沉到学生社区，用最温暖的关爱陪伴学生健康成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实施“一站式”学生社区综合管理模式建设，是深入学习贯彻习近平总书记关于教育的重要论述，提升新时代高校党建和思想政治工作系统化、精细化水平的重要改革举措。中央领导同志高度重视、高位推动，中央教育工作领导小组专门作出部署安排，教育部</w:t>
            </w:r>
            <w:bookmarkStart w:id="0" w:name="_Hlk70519911"/>
            <w:r>
              <w:rPr>
                <w:rFonts w:hint="eastAsia"/>
                <w:lang w:val="en-US" w:eastAsia="zh-CN"/>
              </w:rPr>
              <w:t>会同中央有关部门在《关于加强高校党的政治建设的若干措施》《关于加快构建高校思想政治工作体系的意见》等重要文件中提出具体举措</w:t>
            </w:r>
            <w:bookmarkEnd w:id="0"/>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新时代思政工作已经步入了新的发展阶段，要求更深入化和具体化。政策层面从“三全育人及十大条例”，落实到学校的“德智体美劳”，再细化到思想引领、学业成绩、健康状况、就业深造、奖勤助贷等，逐渐变得明朗化、数据化、可视化。如何通过数据说话，实现精准思政，这对进一步深化“易班”建设，提出了更高的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eastAsia"/>
                <w:lang w:val="en-US" w:eastAsia="zh-CN"/>
              </w:rPr>
              <w:t>高校学生社区是培育和践行社会主义核心价值观、开展思想政治教育的重要阵地，更是打通“三全育人”最后一公里的关键抓手。近年来已有相关政策要求发布：</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CN"/>
              </w:rPr>
            </w:pPr>
            <w:r>
              <w:rPr>
                <w:rFonts w:hint="eastAsia"/>
                <w:lang w:val="en-US" w:eastAsia="zh-CN"/>
              </w:rPr>
              <w:t>2019年教育部发布《关于深化本科教育教学改革全面提高人才培养质量的意见》，要求积极推动高校建立书院制学生管理模式，开展“一站式”学生社区综合管理模式建设试点工作。</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CN"/>
              </w:rPr>
            </w:pPr>
            <w:r>
              <w:rPr>
                <w:rFonts w:hint="eastAsia"/>
                <w:lang w:val="en-US" w:eastAsia="zh-CN"/>
              </w:rPr>
              <w:t>2020年，教育部等八部门联合发布《关于加快构建高校思想政治工作体系的意见》，在“管理服务体系”部分中明确提到要推动“一站式”学生社区建设，将园区打造成为集学生思想教育、师生交流、文化活动、生活服务于一体的教育生活园地。</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CN"/>
              </w:rPr>
            </w:pPr>
            <w:r>
              <w:rPr>
                <w:rFonts w:hint="eastAsia"/>
                <w:lang w:val="en-US" w:eastAsia="zh-CN"/>
              </w:rPr>
              <w:t>2021年，教育部思想政治工作司发布《关于深化“一站式”学生社区综合管理模式建设试点工作的通知》，进一步明确“一站式”学生社区的育人目标和育人功能，强调深入学习贯彻习近平总书记“七一”重要讲话精神和关于教育的重要论述，围绕立德树人根本任务，结合党史学习教育，深化“一站式”学生社区综合管理模式改革。</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CN"/>
              </w:rPr>
            </w:pPr>
            <w:r>
              <w:rPr>
                <w:rFonts w:hint="eastAsia"/>
                <w:lang w:val="en-US" w:eastAsia="zh-CN"/>
              </w:rPr>
              <w:t>2022年，教育部在发布的工作要点中再次强调要推进“一站式”学生社区综合管理模式，实现对1000余所的高校有效覆盖。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高校如何开展“一站式”学生社区综合管理模式建设是一个严峻的课题，要求我校结合自身发展实际和特色亮点，不断挖掘和优化学生社区的育人功能，发挥学生社区的感染作用，联动思想政治理论课等，实现全员全过程全方位育人，打通“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我们需以数字技术赋能思政教育变革，构建数字思政育人体系，重塑思政教育形态。思政教育工作必须紧跟时代步伐，因时而进、因势而新，强化数字赋能、创新教育载体、优化教育过程、丰富教育形式，在资源再生、流程再造、场景再现上下功夫，努力提升新时代思政教育工作的实效性。</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default"/>
                <w:b/>
                <w:bCs/>
                <w:lang w:val="en-US" w:eastAsia="zh-CN"/>
              </w:rPr>
            </w:pPr>
            <w:r>
              <w:rPr>
                <w:rFonts w:hint="eastAsia"/>
                <w:b/>
                <w:bCs/>
                <w:lang w:val="en-US" w:eastAsia="zh-CN"/>
              </w:rPr>
              <w:t>项目建设必要性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在新时代背景下，全面育人理念有了新的概念诠释。高校坚持全面育人是指在大学生涯中，实现大学生德育与智育相协调、课程思政与思政课程相一致、管理与服务同步的全方位、全程、全员育人理念。2019年，教育部推进“一站式”学生社区综合管理模式建设工作，成为中国特色社会主义大学治理体系下学生管理模式改革的重要抓手和实现途径。学生社区是大学生课外学习、生活的主要场所，开展“一站式”学生社区的建设，旨在充分挖掘高校校园育人价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高校“一站式”学生社区综合管理模式以习近平新时代中国特色社会主义思想为指导。在课程思政改革顺利进行的基础上，高校将思想政治教育改革视角从课堂上转移到课堂外,学生社区是大学生课外生活、学习的主要场所,也成为高校改革的德育新空间。学生社区成为经常性学生思想政治教育工作的重要阵地，也是新时代推进全过程育人的重要平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我们需以数字技术赋能思政教育变革，构建数字思政育人体系，重塑思政教育形态。思政教育工作必须紧跟时代步伐，因时而进、因势而新，强化数字赋能、创新教育载体、优化教育过程、丰富教育形式，在资源再生、流程再造、场景再现上下功夫，努力提升新时代思政教育工作的实效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eastAsia"/>
                <w:lang w:val="en-US" w:eastAsia="zh-CN"/>
              </w:rPr>
              <w:t>全面育人视角下，高校“一站式”学生社区建设是新时代背景下高校学生管理专业化发展的产物。学生社区是高校充分发挥学生主体性，贴近学生个性化、高品质的生活迫求，适应社会发展的重要举措。“一站式”学生社区综合管理模式的探索是高校党政建设与学生管理协同的产物。</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构建“一站式”学生社区育人模式要以一流党建引领一流思政体系，以一流思政队伍培养一流人才，以专责思政为核心，以交叉融合为特色，以学生社区网格化管理为支撑，以学生事务管理流程再造为抓手，促进高校“一站式”学生社区育人成效提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eastAsia"/>
                <w:lang w:val="en-US" w:eastAsia="zh-CN"/>
              </w:rPr>
              <w:t>所以，结合我校目前学工系统的建设情况，以及“一站式”学生社会综合管理模式的背景，搭建一个属于学校自己的“一站式数字社区管理系统”已经迫在眉睫。只有依托“一站式数字社区管理系统”，才能真正实现用数字化赋能学生思政建设，通过智能化服务、图形化数据和移动化管理等，将“三全育人”、“五育并举”、“十大体系”有机融合，搭建立体化全方位的精准育人平台，构筑起德智体美劳全面发展的立德树人体系。</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default"/>
                <w:b/>
                <w:bCs/>
                <w:lang w:val="en-US" w:eastAsia="zh-CN"/>
              </w:rPr>
            </w:pPr>
            <w:r>
              <w:rPr>
                <w:rFonts w:hint="eastAsia"/>
                <w:b/>
                <w:bCs/>
                <w:lang w:val="en-US" w:eastAsia="zh-CN"/>
              </w:rPr>
              <w:t>项目建设内容</w:t>
            </w:r>
          </w:p>
          <w:p>
            <w:pPr>
              <w:keepNext w:val="0"/>
              <w:keepLines w:val="0"/>
              <w:pageBreakBefore w:val="0"/>
              <w:widowControl w:val="0"/>
              <w:numPr>
                <w:ilvl w:val="1"/>
                <w:numId w:val="1"/>
              </w:numPr>
              <w:kinsoku/>
              <w:wordWrap/>
              <w:overflowPunct/>
              <w:topLinePunct w:val="0"/>
              <w:autoSpaceDE/>
              <w:autoSpaceDN/>
              <w:bidi w:val="0"/>
              <w:adjustRightInd/>
              <w:snapToGrid/>
              <w:spacing w:line="300" w:lineRule="auto"/>
              <w:jc w:val="left"/>
              <w:textAlignment w:val="auto"/>
              <w:rPr>
                <w:rFonts w:hint="default"/>
                <w:b/>
                <w:bCs/>
                <w:lang w:val="en-US" w:eastAsia="zh-CN"/>
              </w:rPr>
            </w:pPr>
            <w:r>
              <w:rPr>
                <w:rFonts w:hint="eastAsia"/>
                <w:b/>
                <w:bCs/>
                <w:lang w:val="en-US" w:eastAsia="zh-CN"/>
              </w:rPr>
              <w:t>一站式学生社区服务平台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基于数字易班平台升级成一站式学生社区服务平台，集成多种服务和功能的学生社区管理平台。旨在为学生提供方便、快捷、全方位的服务，同时提高学校的管理效率和学生的满意度。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将各种服务整合在一起，例如</w:t>
            </w:r>
            <w:r>
              <w:rPr>
                <w:rFonts w:hint="eastAsia"/>
                <w:lang w:val="en-US" w:eastAsia="zh-CN"/>
              </w:rPr>
              <w:t>课外活动</w:t>
            </w:r>
            <w:r>
              <w:rPr>
                <w:rFonts w:hint="default"/>
                <w:lang w:val="en-US" w:eastAsia="zh-CN"/>
              </w:rPr>
              <w:t>、图书馆资源、</w:t>
            </w:r>
            <w:r>
              <w:rPr>
                <w:rFonts w:hint="eastAsia"/>
                <w:lang w:val="en-US" w:eastAsia="zh-CN"/>
              </w:rPr>
              <w:t>食堂消费</w:t>
            </w:r>
            <w:r>
              <w:rPr>
                <w:rFonts w:hint="default"/>
                <w:lang w:val="en-US" w:eastAsia="zh-CN"/>
              </w:rPr>
              <w:t>、住宿服务、心理咨询等。学生可以通过一个平台享受到多种服务，提高了便利性和满意度。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对收集到的学生信息进行分析和挖掘，为学校的管理决策提供数据支持。例如，学校可以根据数据分析结果优化服务内容、改进管理方式、提高工作效率等。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重视学生信息的隐私保护和数据安全。采用先进的安全技术和管理措施，确保学生信息不被泄露或滥用。同时，应建立完善的应急处理机制，及时应对各种安全事件。</w:t>
            </w:r>
          </w:p>
          <w:p>
            <w:pPr>
              <w:keepNext w:val="0"/>
              <w:keepLines w:val="0"/>
              <w:pageBreakBefore w:val="0"/>
              <w:widowControl w:val="0"/>
              <w:numPr>
                <w:ilvl w:val="1"/>
                <w:numId w:val="1"/>
              </w:numPr>
              <w:kinsoku/>
              <w:wordWrap/>
              <w:overflowPunct/>
              <w:topLinePunct w:val="0"/>
              <w:autoSpaceDE/>
              <w:autoSpaceDN/>
              <w:bidi w:val="0"/>
              <w:adjustRightInd/>
              <w:snapToGrid/>
              <w:spacing w:line="300" w:lineRule="auto"/>
              <w:jc w:val="left"/>
              <w:textAlignment w:val="auto"/>
              <w:rPr>
                <w:rFonts w:hint="default"/>
                <w:b/>
                <w:bCs/>
                <w:lang w:val="en-US" w:eastAsia="zh-CN"/>
              </w:rPr>
            </w:pPr>
            <w:r>
              <w:rPr>
                <w:rFonts w:hint="eastAsia"/>
                <w:b/>
                <w:bCs/>
                <w:lang w:val="en-US" w:eastAsia="zh-CN"/>
              </w:rPr>
              <w:t>数据挖掘与分析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整合来自不同来源的数据，例如学生信息系统、教务管理系统、校园卡系统等。通过数据集成，平台可以获取学生的学习成绩、出勤情况、消费记录等全方位的数据。采用大数据分析技术，对学生的学习生活、成长发展纪实数据进行深度挖掘和分析。通过分析学生的行为模式、兴趣爱好、发展趋势等，可以发现学生的学习问题、需求和潜力，为学校的管理和服务提供科学依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基于数据分析结果，为学生提供个性化的推荐和服务。例如，根据学生的消费记录和生活习惯，提供定制化的生活服务。通过数据分析，及时发现学生的学习问题和生活困扰，进行预警和干预。例如，当发现学生出现成绩下滑、心理问题或异常消费时，平台可以及时提醒相关人员介入处理，帮助学生解决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eastAsia"/>
                <w:lang w:val="en-US" w:eastAsia="zh-CN"/>
              </w:rPr>
              <w:t>建立学生全景画像，为学生提供一个集个人信息展示、学习成果记录、社交互动等于一体的平台。通过个人主页，学生可以方便地展示自己的成果和荣誉，记录自己的学习过程和成长历程，同时也可以与其他学生互动交流，形成良好的社区氛围。</w:t>
            </w:r>
          </w:p>
          <w:p>
            <w:pPr>
              <w:keepNext w:val="0"/>
              <w:keepLines w:val="0"/>
              <w:pageBreakBefore w:val="0"/>
              <w:widowControl w:val="0"/>
              <w:numPr>
                <w:ilvl w:val="1"/>
                <w:numId w:val="1"/>
              </w:numPr>
              <w:kinsoku/>
              <w:wordWrap/>
              <w:overflowPunct/>
              <w:topLinePunct w:val="0"/>
              <w:autoSpaceDE/>
              <w:autoSpaceDN/>
              <w:bidi w:val="0"/>
              <w:adjustRightInd/>
              <w:snapToGrid/>
              <w:spacing w:line="300" w:lineRule="auto"/>
              <w:jc w:val="left"/>
              <w:textAlignment w:val="auto"/>
              <w:rPr>
                <w:rFonts w:hint="eastAsia"/>
                <w:b/>
                <w:bCs/>
                <w:lang w:val="en-US" w:eastAsia="zh-CN"/>
              </w:rPr>
            </w:pPr>
            <w:r>
              <w:rPr>
                <w:rFonts w:hint="eastAsia"/>
                <w:b/>
                <w:bCs/>
                <w:lang w:val="en-US" w:eastAsia="zh-CN"/>
              </w:rPr>
              <w:t>社区网格化管理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一站式学生社区网格化管理通过将学生社区划分为若干个网格，对每个网格实施精细化管理，以达到全面覆盖、落实责任、整合联动、有效防控的目的。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这种管理模式通过“定区域、定人员、定任务”和“全方位、全过程、全覆盖”的网格化管理，进一步优化“一站式”学生社区管理服务功能，实现学生工作力量下沉、职责明确、资源整合、运转高效，实现学生管理“全覆盖”、学生服务“零距离”、学生诉求“快响应”。</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学生公寓网格化管理实行层级负责制，各级网格员负责本级网格工作。所有网格员要求做到“四知四能”，即知网格区域、知工作职责、知危机常识、知服务对象；能发现问题、能解决问题、能化解矛盾、能赢得信任。在具体工作中，网格员需要做好学院所负责寝室楼网格内学生寝室卫生、安全检查、晚归、夜不归宿等信息汇总和上报，以及突发、异常等情况的上报，协助一级网格员解决网格内各项紧急和重要事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同时，学校将学生社区分为多个一级网格（以苑区为单位）、二级网格（即二级学院在学生社区的包干责任区）、三级网格（即学生公寓楼）和四级网格（即学生寝室），建立了四级平安社区网格，织牢全方位、全覆盖的平安社区网，为学生安全稳定“保驾护航”。</w:t>
            </w:r>
          </w:p>
          <w:p>
            <w:pPr>
              <w:keepNext w:val="0"/>
              <w:keepLines w:val="0"/>
              <w:pageBreakBefore w:val="0"/>
              <w:widowControl w:val="0"/>
              <w:numPr>
                <w:ilvl w:val="1"/>
                <w:numId w:val="1"/>
              </w:numPr>
              <w:kinsoku/>
              <w:wordWrap/>
              <w:overflowPunct/>
              <w:topLinePunct w:val="0"/>
              <w:autoSpaceDE/>
              <w:autoSpaceDN/>
              <w:bidi w:val="0"/>
              <w:adjustRightInd/>
              <w:snapToGrid/>
              <w:spacing w:line="300" w:lineRule="auto"/>
              <w:jc w:val="left"/>
              <w:textAlignment w:val="auto"/>
              <w:rPr>
                <w:rFonts w:hint="default"/>
                <w:b/>
                <w:bCs/>
                <w:lang w:val="en-US" w:eastAsia="zh-CN"/>
              </w:rPr>
            </w:pPr>
            <w:r>
              <w:rPr>
                <w:rFonts w:hint="eastAsia"/>
                <w:b/>
                <w:bCs/>
                <w:lang w:val="en-US" w:eastAsia="zh-CN"/>
              </w:rPr>
              <w:t>学生社区活动管理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促进学生社区文化</w:t>
            </w:r>
            <w:r>
              <w:rPr>
                <w:rFonts w:hint="eastAsia"/>
                <w:lang w:val="en-US" w:eastAsia="zh-CN"/>
              </w:rPr>
              <w:t>活动</w:t>
            </w:r>
            <w:r>
              <w:rPr>
                <w:rFonts w:hint="default"/>
                <w:lang w:val="en-US" w:eastAsia="zh-CN"/>
              </w:rPr>
              <w:t>建设，通过组织丰富多彩的活动，满足学生的多元化需求，提高学生的综合素质和社区归属感</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制定活动计划：根据学生的兴趣和需求，制定多样化的活动计划，包括文艺演出、体育比赛、学术讲座、志愿服务等。确保活动的多样性和吸引力。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组织协调：成立学生社区活动组织委员会，负责活动的策划、组织、宣传和实施。明确各部门的职责和工作流程，确保活动的顺利进行。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资源整合：整合校内外资源，包括场地、资金、人员等，为活动提供有力保障。同时，积极与相关单位和企业合作，争取更多的资源和支持。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宣传推广：通过校园媒体、社交平台等多种渠道，对活动进行广泛宣传和推广。吸引更多的学生参与，提高活动的知名度和影响力。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反馈评估：在活动结束后，及时收集学生的反馈意见，对活动效果进行评估。针对不足之处进行改进，不断提高活动质量。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激励表彰：设立奖励机制，对在活动中表现突出的个人和团队进行表彰和奖励，激发学生的参与热情和创造力。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文化传承：通过学生社区活动，传承和弘扬学校优秀的文化传统，培养学生的归属感和荣誉感。同时，推动社区文化的创新和发展。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default"/>
                <w:lang w:val="en-US" w:eastAsia="zh-CN"/>
              </w:rPr>
              <w:t>安全保障：在活动组织过程中，要重视安全保障工作，制定安全预案，确保活动的安全顺利进行。</w:t>
            </w:r>
          </w:p>
          <w:p>
            <w:pPr>
              <w:pStyle w:val="7"/>
              <w:keepNext w:val="0"/>
              <w:keepLines w:val="0"/>
              <w:pageBreakBefore w:val="0"/>
              <w:widowControl w:val="0"/>
              <w:numPr>
                <w:ilvl w:val="1"/>
                <w:numId w:val="1"/>
              </w:numPr>
              <w:kinsoku/>
              <w:wordWrap/>
              <w:overflowPunct/>
              <w:topLinePunct w:val="0"/>
              <w:autoSpaceDE/>
              <w:autoSpaceDN/>
              <w:bidi w:val="0"/>
              <w:adjustRightInd/>
              <w:snapToGrid/>
              <w:spacing w:after="0" w:line="300" w:lineRule="auto"/>
              <w:textAlignment w:val="auto"/>
              <w:rPr>
                <w:rFonts w:hint="default"/>
                <w:b/>
                <w:bCs/>
                <w:lang w:val="en-US" w:eastAsia="zh-CN"/>
              </w:rPr>
            </w:pPr>
            <w:r>
              <w:rPr>
                <w:rFonts w:hint="eastAsia"/>
                <w:b/>
                <w:bCs/>
                <w:lang w:val="en-US" w:eastAsia="zh-CN"/>
              </w:rPr>
              <w:t>社区群组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社区群组旨在为</w:t>
            </w:r>
            <w:r>
              <w:rPr>
                <w:rFonts w:hint="eastAsia"/>
                <w:lang w:val="en-US" w:eastAsia="zh-CN"/>
              </w:rPr>
              <w:t>学生</w:t>
            </w:r>
            <w:r>
              <w:rPr>
                <w:rFonts w:hint="eastAsia"/>
                <w:lang w:val="en-US" w:eastAsia="zh-Hans"/>
              </w:rPr>
              <w:t>社区提供更加便捷、高效的服务。通过将各类服务资源整合到一个平台上，社区</w:t>
            </w:r>
            <w:r>
              <w:rPr>
                <w:rFonts w:hint="eastAsia"/>
                <w:lang w:val="en-US" w:eastAsia="zh-CN"/>
              </w:rPr>
              <w:t>学生</w:t>
            </w:r>
            <w:r>
              <w:rPr>
                <w:rFonts w:hint="eastAsia"/>
                <w:lang w:val="en-US" w:eastAsia="zh-Hans"/>
              </w:rPr>
              <w:t>可以在一个地方解决多种需求，避免了传统社区服务中存在的分散、低效的问题。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根据不同的业务场景，创建不同类型的群组，如班级群、课程群、办公群等。学校管理员可以对全校的校园群组进行管理，以及设置群主、群管理员与群成员。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（1）聊天分组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系统能够根据学校的组织架构、行政班划分自动生成各班级的班级群组，并设置好相应的管理员（辅导员）、群组成员（学生）。也能够根据各种办公场景的需要，创建不同的办公群组；根据学生上课的需要，创建不同的课程群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群组内成员可以在组内进行聊天交流、发布群内活动。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辅导员可以面向班级内所有成员发布班级任务，可以管理班级内的成员，支持对班级群进行全员禁言、单个学生禁言、群组冻结等操作。能够跟踪查看班级内发布的任务进度情况，可以一键提醒未完成的学生。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（2）群组能力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群组间用户可以发送文字消息、图片、视频等内容，支持用户从相册中选择图片、视频等进行上传，并可以查看与统计群组内成员的已读情况。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群组支持通知、问卷、投票、签到等服务活动的快捷发布，可以查看群内成员的参与情况，应用发起者可以导出用户参与结果。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Hans"/>
              </w:rPr>
            </w:pPr>
            <w:r>
              <w:rPr>
                <w:rFonts w:hint="eastAsia"/>
                <w:lang w:val="en-US" w:eastAsia="zh-Hans"/>
              </w:rPr>
              <w:t>群组内支持资料上传、查看与管理，并能够集成系统内的应用消息，群组用户可以通过群组消息快速查看相应的信息与服务。</w:t>
            </w:r>
          </w:p>
          <w:p>
            <w:pPr>
              <w:pStyle w:val="7"/>
              <w:keepNext w:val="0"/>
              <w:keepLines w:val="0"/>
              <w:pageBreakBefore w:val="0"/>
              <w:widowControl w:val="0"/>
              <w:numPr>
                <w:ilvl w:val="1"/>
                <w:numId w:val="1"/>
              </w:numPr>
              <w:kinsoku/>
              <w:wordWrap/>
              <w:overflowPunct/>
              <w:topLinePunct w:val="0"/>
              <w:autoSpaceDE/>
              <w:autoSpaceDN/>
              <w:bidi w:val="0"/>
              <w:adjustRightInd/>
              <w:snapToGrid/>
              <w:spacing w:after="0" w:line="300" w:lineRule="auto"/>
              <w:textAlignment w:val="auto"/>
              <w:rPr>
                <w:rFonts w:hint="default"/>
                <w:b/>
                <w:bCs/>
                <w:lang w:val="en-US" w:eastAsia="zh-CN"/>
              </w:rPr>
            </w:pPr>
            <w:r>
              <w:rPr>
                <w:rFonts w:hint="eastAsia"/>
                <w:b/>
                <w:bCs/>
                <w:lang w:val="en-US" w:eastAsia="zh-CN"/>
              </w:rPr>
              <w:t>资讯中心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系统支持与学校已有的网站群管理系统集成，实现资讯的浏览，通过PC大厅即可浏览网站群下各站点栏目的新闻、资讯、通知等；支持资讯订阅和栏目排序。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“一站式数字社区管理系统”的资讯面向全体师生，为用户提供相关各大网站资讯阅读功能。该模块集中展示所有采集和发布的栏目和资讯。点击更多可以查看该站点和栏目所有资讯，具体页面和功能内容如下：</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Hans"/>
              </w:rPr>
            </w:pPr>
            <w:r>
              <w:rPr>
                <w:rFonts w:hint="eastAsia"/>
                <w:lang w:val="en-US" w:eastAsia="zh-Hans"/>
              </w:rPr>
              <w:t>与站群内容融合：</w:t>
            </w:r>
            <w:r>
              <w:rPr>
                <w:rFonts w:hint="eastAsia"/>
                <w:lang w:val="en-US" w:eastAsia="zh-CN"/>
              </w:rPr>
              <w:t>可以</w:t>
            </w:r>
            <w:r>
              <w:rPr>
                <w:rFonts w:hint="eastAsia"/>
                <w:lang w:val="en-US" w:eastAsia="zh-Hans"/>
              </w:rPr>
              <w:t>整合全校资讯，与平台深度融合，聚合平台数据、内部智慧校园相关平台或其他业务系统的数据来构建校级统一的移动资讯库，实现全校资讯跨站点数据交换，确保统一资讯信息数据源。通过资讯服务实现资讯信息的准确性、一致性、可订阅、可推荐。为领导和教师提供学校和部门发文、通知公告，为学生提供院系公告、教务和学工资讯。同时支持重点资讯提示和资讯订阅。</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Hans"/>
              </w:rPr>
            </w:pPr>
            <w:r>
              <w:rPr>
                <w:rFonts w:hint="eastAsia"/>
                <w:lang w:val="en-US" w:eastAsia="zh-Hans"/>
              </w:rPr>
              <w:t>角色栏目：通过导航进入应用中心后，进入系统平台的师生可以获得与自身相契合的资讯服务。师生、校内人员在登录门户后依然可以查看原有网站中的资讯，并且相较原有站群的资讯服务，现有门户的资讯栏目推送策略更加清晰，用户体验更佳。</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Hans"/>
              </w:rPr>
            </w:pPr>
            <w:r>
              <w:rPr>
                <w:rFonts w:hint="eastAsia"/>
                <w:lang w:val="en-US" w:eastAsia="zh-Hans"/>
              </w:rPr>
              <w:t>栏目聚合浏览：用户登录门户后，通过终端浏览的聚合栏目信息，用户在获得定制化的栏目推送外还可自主订阅门户上的不同栏目。用户可用将资讯分享到微信、微博、QQ空间，满足师生日常使用场景。</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Hans"/>
              </w:rPr>
            </w:pPr>
            <w:r>
              <w:rPr>
                <w:rFonts w:hint="eastAsia"/>
                <w:lang w:val="en-US" w:eastAsia="zh-Hans"/>
              </w:rPr>
              <w:t>全网热搜栏目推送：在师生改变订阅栏目后，将会获得消息推送服务，推送全网热搜的资讯栏目</w:t>
            </w:r>
            <w:r>
              <w:rPr>
                <w:rFonts w:hint="eastAsia"/>
                <w:lang w:val="en-US" w:eastAsia="zh-CN"/>
              </w:rPr>
              <w:t>；</w:t>
            </w:r>
            <w:r>
              <w:rPr>
                <w:rFonts w:hint="eastAsia"/>
                <w:lang w:val="en-US" w:eastAsia="zh-Hans"/>
              </w:rPr>
              <w:t>如果</w:t>
            </w:r>
            <w:r>
              <w:rPr>
                <w:rFonts w:hint="eastAsia"/>
                <w:lang w:val="en-US" w:eastAsia="zh-CN"/>
              </w:rPr>
              <w:t>学校</w:t>
            </w:r>
            <w:r>
              <w:rPr>
                <w:rFonts w:hint="eastAsia"/>
                <w:lang w:val="en-US" w:eastAsia="zh-Hans"/>
              </w:rPr>
              <w:t>有需求对接校园统一通信平台的话，师生将会获得：短信、APP、邮件、IM等多渠道消息提醒。</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840" w:leftChars="200" w:hanging="420" w:hangingChars="200"/>
              <w:jc w:val="left"/>
              <w:textAlignment w:val="auto"/>
              <w:rPr>
                <w:rFonts w:hint="eastAsia"/>
                <w:lang w:val="en-US" w:eastAsia="zh-Hans"/>
              </w:rPr>
            </w:pPr>
            <w:r>
              <w:rPr>
                <w:rFonts w:hint="eastAsia"/>
                <w:lang w:val="en-US" w:eastAsia="zh-Hans"/>
              </w:rPr>
              <w:t>资讯策略提醒：结合消息中心资讯中心会以策略的方式将重要资讯推送给师生、校内人员，不让用户错失任何一条重要的信息。</w:t>
            </w:r>
          </w:p>
          <w:p>
            <w:pPr>
              <w:pStyle w:val="7"/>
              <w:keepNext w:val="0"/>
              <w:keepLines w:val="0"/>
              <w:pageBreakBefore w:val="0"/>
              <w:widowControl w:val="0"/>
              <w:numPr>
                <w:ilvl w:val="1"/>
                <w:numId w:val="1"/>
              </w:numPr>
              <w:kinsoku/>
              <w:wordWrap/>
              <w:overflowPunct/>
              <w:topLinePunct w:val="0"/>
              <w:autoSpaceDE/>
              <w:autoSpaceDN/>
              <w:bidi w:val="0"/>
              <w:adjustRightInd/>
              <w:snapToGrid/>
              <w:spacing w:after="0" w:line="300" w:lineRule="auto"/>
              <w:textAlignment w:val="auto"/>
              <w:rPr>
                <w:rFonts w:hint="default"/>
                <w:b/>
                <w:bCs/>
                <w:lang w:val="en-US" w:eastAsia="zh-CN"/>
              </w:rPr>
            </w:pPr>
            <w:r>
              <w:rPr>
                <w:rFonts w:hint="eastAsia"/>
                <w:b/>
                <w:bCs/>
                <w:lang w:val="en-US" w:eastAsia="zh-CN"/>
              </w:rPr>
              <w:t>社区服务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Hans"/>
              </w:rPr>
            </w:pPr>
            <w:r>
              <w:rPr>
                <w:rFonts w:hint="default"/>
                <w:lang w:val="en-US" w:eastAsia="zh-Hans"/>
              </w:rPr>
              <w:t>学生社区服务主要记录了社区为学生提供的各类服务，包括以下方面：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Hans"/>
              </w:rPr>
            </w:pPr>
            <w:r>
              <w:rPr>
                <w:rFonts w:hint="default"/>
                <w:lang w:val="en-US" w:eastAsia="zh-Hans"/>
              </w:rPr>
              <w:t>学习辅导服务：记录了学生的学习状况和成绩变化，以及为学生提供的个性化学习辅导服务。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Hans"/>
              </w:rPr>
            </w:pPr>
            <w:r>
              <w:rPr>
                <w:rFonts w:hint="default"/>
                <w:lang w:val="en-US" w:eastAsia="zh-Hans"/>
              </w:rPr>
              <w:t>生活服务：记录了学生的生活状况和需求，以及为学生提供的各类生活服务，例如宿舍管理、餐饮服务、校园活动等。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Hans"/>
              </w:rPr>
            </w:pPr>
            <w:r>
              <w:rPr>
                <w:rFonts w:hint="default"/>
                <w:lang w:val="en-US" w:eastAsia="zh-Hans"/>
              </w:rPr>
              <w:t>心理咨询服务：记录了学生的心理状况和问题，以及为学生提供的心理咨询服务，例如心理咨询、心理疏导等。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Hans"/>
              </w:rPr>
            </w:pPr>
            <w:r>
              <w:rPr>
                <w:rFonts w:hint="default"/>
                <w:lang w:val="en-US" w:eastAsia="zh-Hans"/>
              </w:rPr>
              <w:t>社交指导服务：记录了学生的社交状况和问题，以及为学生提供的社交指导服务，例如引导学生参与各类社团活动、组织社交活动等。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Hans"/>
              </w:rPr>
            </w:pPr>
            <w:r>
              <w:rPr>
                <w:rFonts w:hint="default"/>
                <w:lang w:val="en-US" w:eastAsia="zh-Hans"/>
              </w:rPr>
              <w:t>实践活动服务：记录了学生参与的各类实践活动，例如社会实践、志愿服务等，以及为学生提供的实践指导服务。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Hans"/>
              </w:rPr>
            </w:pPr>
            <w:r>
              <w:rPr>
                <w:rFonts w:hint="default"/>
                <w:lang w:val="en-US" w:eastAsia="zh-Hans"/>
              </w:rPr>
              <w:t>就业指导服务：记录了学生的就业需求和问题，以及为学生提供的就业指导服务，例如职业规划、求职指导等。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default"/>
                <w:lang w:val="en-US" w:eastAsia="zh-Hans"/>
              </w:rPr>
              <w:t>社区场地预约</w:t>
            </w:r>
            <w:r>
              <w:rPr>
                <w:rFonts w:hint="eastAsia"/>
                <w:lang w:val="en-US" w:eastAsia="zh-CN"/>
              </w:rPr>
              <w:t>服务：整合线上平台和线下服务，学生通过线上渠道进行预约。在预约过程中，学生需要选择所需的场地类型（如教室、会议室、活动室等）、时间段以及使用目的，并填写相关的个人信息。系统根据场地的可用性、预约规则等因素进行审核，并在审核通过后发送通知给学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校外住宿登记服务：学生无需多次往返于不同部门之间，只需通过线上平台即可完成登记手续。提供学生校外住宿情况的统计和分析，为学校和社区管理部门提供了重要的数据支持，有助于更好地管理学生校外住宿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社区意见箱：收集学生对社区内各项服务、设施、活动等方面的意见和建议，以便社区管理部门能够及时了解学生的需求和期望。</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lang w:val="en-US" w:eastAsia="zh-CN"/>
              </w:rPr>
            </w:pPr>
            <w:r>
              <w:rPr>
                <w:rFonts w:hint="eastAsia"/>
                <w:lang w:val="en-US" w:eastAsia="zh-CN"/>
              </w:rPr>
              <w:t>社区物资借用服务：学生根据自己的需求选择合适的物资进行借用，如学校用品、生活物品以及体育器材等。通过线上填写必要的借用信息提交申请即可，审核通过后通知学生借用物资的具体时间和地点。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pPr>
            <w:r>
              <w:rPr>
                <w:rFonts w:hint="default"/>
                <w:lang w:val="en-US" w:eastAsia="zh-Hans"/>
              </w:rPr>
              <w:t>学生社区服务的记录方式也可以多样化，例如纸质记录、电子表格记录、信息系统记录等。通过记录和整理这些服务，可以更好地了解学生社区的服务状况和质量，及时发现和改进服务中存在的问题，提高服务质量和效率。同时，这些日志也可以作为学校管理的重要参考依据，为学校的管理和服务提供更加精准的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Align w:val="center"/>
          </w:tcPr>
          <w:p>
            <w:pPr>
              <w:jc w:val="center"/>
              <w:rPr>
                <w:b/>
              </w:rPr>
            </w:pPr>
            <w:r>
              <w:rPr>
                <w:rFonts w:hint="eastAsia"/>
                <w:b/>
              </w:rPr>
              <w:t>经费及预算依据</w:t>
            </w:r>
          </w:p>
        </w:tc>
        <w:tc>
          <w:tcPr>
            <w:tcW w:w="72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预算金额：45万元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是否需要分年度建设：否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项目预算清单如下：</w:t>
            </w:r>
          </w:p>
          <w:tbl>
            <w:tblPr>
              <w:tblStyle w:val="8"/>
              <w:tblW w:w="4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5"/>
              <w:gridCol w:w="256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35" w:type="dxa"/>
                  <w:shd w:val="clear" w:color="auto" w:fill="F1F1F1" w:themeFill="background1" w:themeFillShade="F2"/>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563" w:type="dxa"/>
                  <w:shd w:val="clear" w:color="auto" w:fill="F1F1F1" w:themeFill="background1" w:themeFillShade="F2"/>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模块</w:t>
                  </w:r>
                </w:p>
              </w:tc>
              <w:tc>
                <w:tcPr>
                  <w:tcW w:w="1582" w:type="dxa"/>
                  <w:shd w:val="clear" w:color="auto" w:fill="F1F1F1" w:themeFill="background1" w:themeFillShade="F2"/>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一站式学生社区服务平台</w:t>
                  </w:r>
                </w:p>
              </w:tc>
              <w:tc>
                <w:tcPr>
                  <w:tcW w:w="15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数据挖掘与分析</w:t>
                  </w:r>
                </w:p>
              </w:tc>
              <w:tc>
                <w:tcPr>
                  <w:tcW w:w="15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社区网格化管理</w:t>
                  </w:r>
                </w:p>
              </w:tc>
              <w:tc>
                <w:tcPr>
                  <w:tcW w:w="15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学生社区活动管理</w:t>
                  </w:r>
                </w:p>
              </w:tc>
              <w:tc>
                <w:tcPr>
                  <w:tcW w:w="15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社区群组</w:t>
                  </w:r>
                </w:p>
              </w:tc>
              <w:tc>
                <w:tcPr>
                  <w:tcW w:w="15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资讯中心</w:t>
                  </w:r>
                </w:p>
              </w:tc>
              <w:tc>
                <w:tcPr>
                  <w:tcW w:w="15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社区服务</w:t>
                  </w:r>
                </w:p>
              </w:tc>
              <w:tc>
                <w:tcPr>
                  <w:tcW w:w="15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398" w:type="dxa"/>
                  <w:gridSpan w:val="2"/>
                  <w:shd w:val="clear" w:color="auto" w:fill="F1F1F1" w:themeFill="background1" w:themeFillShade="F2"/>
                  <w:vAlign w:val="center"/>
                </w:tcPr>
                <w:p>
                  <w:pPr>
                    <w:keepNext w:val="0"/>
                    <w:keepLines w:val="0"/>
                    <w:pageBreakBefore w:val="0"/>
                    <w:kinsoku/>
                    <w:wordWrap/>
                    <w:overflowPunct/>
                    <w:topLinePunct w:val="0"/>
                    <w:autoSpaceDE/>
                    <w:autoSpaceDN/>
                    <w:bidi w:val="0"/>
                    <w:adjustRightInd/>
                    <w:snapToGrid/>
                    <w:spacing w:line="276" w:lineRule="auto"/>
                    <w:jc w:val="righ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合计：</w:t>
                  </w:r>
                </w:p>
              </w:tc>
              <w:tc>
                <w:tcPr>
                  <w:tcW w:w="1582" w:type="dxa"/>
                  <w:shd w:val="clear" w:color="auto" w:fill="F1F1F1" w:themeFill="background1" w:themeFillShade="F2"/>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450,000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lang w:val="en-US" w:eastAsia="zh-CN"/>
              </w:rPr>
            </w:pPr>
            <w:r>
              <w:rPr>
                <w:rFonts w:hint="eastAsia"/>
                <w:lang w:val="en-US" w:eastAsia="zh-CN"/>
              </w:rPr>
              <w:t>华东理工大学：2020年起，建设“三网融合 一站服务”的整体服务平台经过五期建设（项目金额约265万元），借助科技力量，实现学生工作从以管理为中心的模式，逐步向以学生服务的方向转型，完成“一站式”学生服务平台，帮助学校推进育人工作全面、协调和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pPr>
            <w:r>
              <w:rPr>
                <w:rFonts w:hint="eastAsia"/>
                <w:lang w:val="en-US" w:eastAsia="zh-CN"/>
              </w:rPr>
              <w:t>苏州大学：2020年6月起，开始着手搭建“信息门户”，项目通过六期建设（项目前后投资共约300万元），先后完成了学生调课，出国出境，成绩单在线打印等，以及书院招生、迎新等多个“一站式”学生社区应用与服务，实现对学校育人工作的系统化、科学化、规范化管理，全面提升育人工作的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Align w:val="center"/>
          </w:tcPr>
          <w:p>
            <w:pPr>
              <w:jc w:val="center"/>
              <w:rPr>
                <w:b/>
              </w:rPr>
            </w:pPr>
            <w:r>
              <w:rPr>
                <w:rFonts w:hint="eastAsia"/>
                <w:b/>
              </w:rPr>
              <w:t>备注</w:t>
            </w:r>
          </w:p>
        </w:tc>
        <w:tc>
          <w:tcPr>
            <w:tcW w:w="7282" w:type="dxa"/>
            <w:vAlign w:val="center"/>
          </w:tcPr>
          <w:p>
            <w:pPr>
              <w:jc w:val="left"/>
            </w:pPr>
          </w:p>
        </w:tc>
      </w:tr>
    </w:tbl>
    <w:p>
      <w:pPr>
        <w:ind w:left="0" w:leftChars="0" w:firstLine="0" w:firstLineChars="0"/>
      </w:pPr>
    </w:p>
    <w:sectPr>
      <w:pgSz w:w="11906" w:h="16838"/>
      <w:pgMar w:top="1247" w:right="1247" w:bottom="124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8CF05"/>
    <w:multiLevelType w:val="singleLevel"/>
    <w:tmpl w:val="0298CF05"/>
    <w:lvl w:ilvl="0" w:tentative="0">
      <w:start w:val="1"/>
      <w:numFmt w:val="bullet"/>
      <w:lvlText w:val=""/>
      <w:lvlJc w:val="left"/>
      <w:pPr>
        <w:ind w:left="420" w:hanging="420"/>
      </w:pPr>
      <w:rPr>
        <w:rFonts w:hint="default" w:ascii="Wingdings" w:hAnsi="Wingdings"/>
      </w:rPr>
    </w:lvl>
  </w:abstractNum>
  <w:abstractNum w:abstractNumId="1">
    <w:nsid w:val="45B386A4"/>
    <w:multiLevelType w:val="multilevel"/>
    <w:tmpl w:val="45B386A4"/>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Tc0ZGZhMjdhM2Y5OTk2YjhiZGVjMTMyMjY4YzQifQ=="/>
  </w:docVars>
  <w:rsids>
    <w:rsidRoot w:val="2FE30338"/>
    <w:rsid w:val="0066795B"/>
    <w:rsid w:val="019B53E2"/>
    <w:rsid w:val="02AB3D4B"/>
    <w:rsid w:val="03084CFA"/>
    <w:rsid w:val="03373831"/>
    <w:rsid w:val="03B31109"/>
    <w:rsid w:val="03D73826"/>
    <w:rsid w:val="047D04C5"/>
    <w:rsid w:val="04CB2483"/>
    <w:rsid w:val="04D964A5"/>
    <w:rsid w:val="051B12D0"/>
    <w:rsid w:val="05F52C00"/>
    <w:rsid w:val="07565CFE"/>
    <w:rsid w:val="082425D6"/>
    <w:rsid w:val="08513AC3"/>
    <w:rsid w:val="0ACE05D7"/>
    <w:rsid w:val="0C503E02"/>
    <w:rsid w:val="0C923886"/>
    <w:rsid w:val="0E0B0CD9"/>
    <w:rsid w:val="0E2A021A"/>
    <w:rsid w:val="0FAC2EB1"/>
    <w:rsid w:val="107240FA"/>
    <w:rsid w:val="110D797F"/>
    <w:rsid w:val="114A259B"/>
    <w:rsid w:val="118B7068"/>
    <w:rsid w:val="12D27CAA"/>
    <w:rsid w:val="13B36C86"/>
    <w:rsid w:val="14FA720F"/>
    <w:rsid w:val="151C5D95"/>
    <w:rsid w:val="158C17BA"/>
    <w:rsid w:val="158E104C"/>
    <w:rsid w:val="16005D04"/>
    <w:rsid w:val="162429F4"/>
    <w:rsid w:val="16946B78"/>
    <w:rsid w:val="16B6029A"/>
    <w:rsid w:val="17DA4231"/>
    <w:rsid w:val="18664709"/>
    <w:rsid w:val="1869193F"/>
    <w:rsid w:val="18E54A2C"/>
    <w:rsid w:val="19E80BA9"/>
    <w:rsid w:val="1A2F1213"/>
    <w:rsid w:val="1AEB698A"/>
    <w:rsid w:val="1B5A1A13"/>
    <w:rsid w:val="1CFC7225"/>
    <w:rsid w:val="1E14059F"/>
    <w:rsid w:val="1E6C04D2"/>
    <w:rsid w:val="1F576995"/>
    <w:rsid w:val="1FD95079"/>
    <w:rsid w:val="1FF32470"/>
    <w:rsid w:val="206A1A27"/>
    <w:rsid w:val="206D3F96"/>
    <w:rsid w:val="21632FE6"/>
    <w:rsid w:val="226A2E83"/>
    <w:rsid w:val="227073AE"/>
    <w:rsid w:val="2277734E"/>
    <w:rsid w:val="2353697A"/>
    <w:rsid w:val="23B614C8"/>
    <w:rsid w:val="23CF45DE"/>
    <w:rsid w:val="23DC005E"/>
    <w:rsid w:val="24932060"/>
    <w:rsid w:val="25F0369F"/>
    <w:rsid w:val="270D6378"/>
    <w:rsid w:val="27F76F67"/>
    <w:rsid w:val="2943695A"/>
    <w:rsid w:val="29656152"/>
    <w:rsid w:val="29F00112"/>
    <w:rsid w:val="2A257690"/>
    <w:rsid w:val="2AA56E1D"/>
    <w:rsid w:val="2AC74B8A"/>
    <w:rsid w:val="2C7B74F4"/>
    <w:rsid w:val="2CFC5020"/>
    <w:rsid w:val="2D813092"/>
    <w:rsid w:val="2DEA78B6"/>
    <w:rsid w:val="2E627104"/>
    <w:rsid w:val="2EA66FF1"/>
    <w:rsid w:val="2F4D56BE"/>
    <w:rsid w:val="2FE30338"/>
    <w:rsid w:val="305331A8"/>
    <w:rsid w:val="30654787"/>
    <w:rsid w:val="30CB71E3"/>
    <w:rsid w:val="30E47124"/>
    <w:rsid w:val="312D4A00"/>
    <w:rsid w:val="320A3D3B"/>
    <w:rsid w:val="337C2A16"/>
    <w:rsid w:val="34A118FF"/>
    <w:rsid w:val="350E769E"/>
    <w:rsid w:val="352E7D40"/>
    <w:rsid w:val="35AE09BB"/>
    <w:rsid w:val="35DA3A24"/>
    <w:rsid w:val="364D069A"/>
    <w:rsid w:val="36745C27"/>
    <w:rsid w:val="372B2789"/>
    <w:rsid w:val="376E6B1A"/>
    <w:rsid w:val="383E473E"/>
    <w:rsid w:val="38AF2F46"/>
    <w:rsid w:val="38B32E03"/>
    <w:rsid w:val="38C06F01"/>
    <w:rsid w:val="395A55A8"/>
    <w:rsid w:val="39CC096E"/>
    <w:rsid w:val="3A085004"/>
    <w:rsid w:val="3A1E3E7A"/>
    <w:rsid w:val="3B4E4C98"/>
    <w:rsid w:val="3C534B0B"/>
    <w:rsid w:val="3CD16B39"/>
    <w:rsid w:val="3D094BEF"/>
    <w:rsid w:val="3D4A5933"/>
    <w:rsid w:val="3D5642D8"/>
    <w:rsid w:val="3D960B78"/>
    <w:rsid w:val="3E38578C"/>
    <w:rsid w:val="3E5959D1"/>
    <w:rsid w:val="3EFE0783"/>
    <w:rsid w:val="3F9A57D2"/>
    <w:rsid w:val="3FA4132B"/>
    <w:rsid w:val="409F7D44"/>
    <w:rsid w:val="40A60329"/>
    <w:rsid w:val="40A610D2"/>
    <w:rsid w:val="40BE641C"/>
    <w:rsid w:val="40FD3A6D"/>
    <w:rsid w:val="42062902"/>
    <w:rsid w:val="422163D0"/>
    <w:rsid w:val="42B23D5F"/>
    <w:rsid w:val="433724B6"/>
    <w:rsid w:val="433E1A96"/>
    <w:rsid w:val="43852784"/>
    <w:rsid w:val="43855569"/>
    <w:rsid w:val="4387362C"/>
    <w:rsid w:val="43C55D14"/>
    <w:rsid w:val="44066163"/>
    <w:rsid w:val="44A87D38"/>
    <w:rsid w:val="44DC3315"/>
    <w:rsid w:val="453104AC"/>
    <w:rsid w:val="45822CF4"/>
    <w:rsid w:val="459D0FB7"/>
    <w:rsid w:val="459E37FB"/>
    <w:rsid w:val="45B70BAF"/>
    <w:rsid w:val="45D1274E"/>
    <w:rsid w:val="46A71700"/>
    <w:rsid w:val="46E10C8B"/>
    <w:rsid w:val="46E15183"/>
    <w:rsid w:val="46EC289E"/>
    <w:rsid w:val="485F6737"/>
    <w:rsid w:val="48732A86"/>
    <w:rsid w:val="48965ED0"/>
    <w:rsid w:val="4C6F1633"/>
    <w:rsid w:val="4CA2392F"/>
    <w:rsid w:val="4CBB0B45"/>
    <w:rsid w:val="4D466A9B"/>
    <w:rsid w:val="4D7A191D"/>
    <w:rsid w:val="4DA1334D"/>
    <w:rsid w:val="4DAE15C6"/>
    <w:rsid w:val="4DC62DB4"/>
    <w:rsid w:val="4E0B4C6B"/>
    <w:rsid w:val="4FA9772A"/>
    <w:rsid w:val="4FFC0D0F"/>
    <w:rsid w:val="508A00C9"/>
    <w:rsid w:val="51350844"/>
    <w:rsid w:val="514C1822"/>
    <w:rsid w:val="517B0995"/>
    <w:rsid w:val="51DD06CC"/>
    <w:rsid w:val="51F9331F"/>
    <w:rsid w:val="522D74E8"/>
    <w:rsid w:val="533B387E"/>
    <w:rsid w:val="5386726D"/>
    <w:rsid w:val="538F3C48"/>
    <w:rsid w:val="53C658BC"/>
    <w:rsid w:val="544C6596"/>
    <w:rsid w:val="55436A98"/>
    <w:rsid w:val="56F00EA2"/>
    <w:rsid w:val="57E336C7"/>
    <w:rsid w:val="581F559B"/>
    <w:rsid w:val="585F2C97"/>
    <w:rsid w:val="597A5D13"/>
    <w:rsid w:val="59B166C6"/>
    <w:rsid w:val="5A2F4359"/>
    <w:rsid w:val="5A62472F"/>
    <w:rsid w:val="5A70032F"/>
    <w:rsid w:val="5ABA5A4E"/>
    <w:rsid w:val="5BDD7C46"/>
    <w:rsid w:val="5BF97784"/>
    <w:rsid w:val="5C3F445D"/>
    <w:rsid w:val="5C447CC6"/>
    <w:rsid w:val="5CE45005"/>
    <w:rsid w:val="5D435E03"/>
    <w:rsid w:val="5E4F4700"/>
    <w:rsid w:val="5F296D65"/>
    <w:rsid w:val="6062071A"/>
    <w:rsid w:val="60FA797E"/>
    <w:rsid w:val="62612C54"/>
    <w:rsid w:val="62FD48F9"/>
    <w:rsid w:val="630A5099"/>
    <w:rsid w:val="6378107A"/>
    <w:rsid w:val="640B10C9"/>
    <w:rsid w:val="644A1BF1"/>
    <w:rsid w:val="648F1CFA"/>
    <w:rsid w:val="652F32A0"/>
    <w:rsid w:val="65491D76"/>
    <w:rsid w:val="65EC0A86"/>
    <w:rsid w:val="660170CE"/>
    <w:rsid w:val="666B40A1"/>
    <w:rsid w:val="67A96C2F"/>
    <w:rsid w:val="67CF04D5"/>
    <w:rsid w:val="6A4E2EB3"/>
    <w:rsid w:val="6A554E4C"/>
    <w:rsid w:val="6BA53BB1"/>
    <w:rsid w:val="6BAD2A66"/>
    <w:rsid w:val="6C042FCD"/>
    <w:rsid w:val="6C134FBF"/>
    <w:rsid w:val="6D10572C"/>
    <w:rsid w:val="6DBC51E2"/>
    <w:rsid w:val="6DC24EEE"/>
    <w:rsid w:val="6DC522E8"/>
    <w:rsid w:val="6E4D7511"/>
    <w:rsid w:val="6EC95E08"/>
    <w:rsid w:val="6F241291"/>
    <w:rsid w:val="6FDC1B6B"/>
    <w:rsid w:val="70997814"/>
    <w:rsid w:val="7162334D"/>
    <w:rsid w:val="71B047FB"/>
    <w:rsid w:val="73B21561"/>
    <w:rsid w:val="73D2575F"/>
    <w:rsid w:val="74F3598D"/>
    <w:rsid w:val="74FF28C8"/>
    <w:rsid w:val="750202C6"/>
    <w:rsid w:val="75047B9A"/>
    <w:rsid w:val="763B2FC0"/>
    <w:rsid w:val="76703CD4"/>
    <w:rsid w:val="773A5AF5"/>
    <w:rsid w:val="77E912C9"/>
    <w:rsid w:val="784E21A7"/>
    <w:rsid w:val="7A6D0170"/>
    <w:rsid w:val="7ADE2C3C"/>
    <w:rsid w:val="7AE5221C"/>
    <w:rsid w:val="7B2C7E4B"/>
    <w:rsid w:val="7B7F61CD"/>
    <w:rsid w:val="7C99506C"/>
    <w:rsid w:val="7CF77783"/>
    <w:rsid w:val="7D301619"/>
    <w:rsid w:val="7DB12889"/>
    <w:rsid w:val="7DBF4025"/>
    <w:rsid w:val="7E1F3C97"/>
    <w:rsid w:val="7E3E236F"/>
    <w:rsid w:val="7F7407A6"/>
    <w:rsid w:val="7F743B6E"/>
    <w:rsid w:val="7F93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ind w:firstLine="0" w:firstLineChars="0"/>
      <w:outlineLvl w:val="0"/>
    </w:pPr>
    <w:rPr>
      <w:b/>
      <w:kern w:val="44"/>
      <w:sz w:val="44"/>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ind w:firstLine="0" w:firstLineChars="0"/>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ind w:firstLine="0" w:firstLineChars="0"/>
      <w:outlineLvl w:val="2"/>
    </w:pPr>
    <w:rPr>
      <w:b/>
      <w:sz w:val="32"/>
    </w:rPr>
  </w:style>
  <w:style w:type="paragraph" w:styleId="6">
    <w:name w:val="heading 4"/>
    <w:basedOn w:val="1"/>
    <w:next w:val="1"/>
    <w:autoRedefine/>
    <w:semiHidden/>
    <w:unhideWhenUsed/>
    <w:qFormat/>
    <w:uiPriority w:val="0"/>
    <w:pPr>
      <w:keepNext/>
      <w:keepLines/>
      <w:spacing w:before="280" w:beforeLines="0" w:beforeAutospacing="0" w:after="290" w:afterLines="0" w:afterAutospacing="0" w:line="372" w:lineRule="auto"/>
      <w:ind w:firstLine="0" w:firstLineChars="0"/>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99"/>
    <w:pPr>
      <w:widowControl/>
      <w:topLinePunct/>
      <w:spacing w:before="120" w:after="160" w:line="240" w:lineRule="atLeast"/>
      <w:ind w:left="1701" w:firstLine="0" w:firstLineChars="0"/>
      <w:jc w:val="left"/>
    </w:pPr>
    <w:rPr>
      <w:rFonts w:ascii="Arial" w:hAnsi="Arial" w:cs="Arial"/>
      <w:sz w:val="21"/>
      <w:szCs w:val="21"/>
    </w:rPr>
  </w:style>
  <w:style w:type="paragraph" w:styleId="7">
    <w:name w:val="Body Text"/>
    <w:basedOn w:val="1"/>
    <w:unhideWhenUsed/>
    <w:qFormat/>
    <w:uiPriority w:val="99"/>
    <w:pPr>
      <w:spacing w:after="120"/>
    </w:p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autoRedefine/>
    <w:qFormat/>
    <w:uiPriority w:val="34"/>
    <w:pPr>
      <w:ind w:firstLine="420" w:firstLineChars="200"/>
    </w:pPr>
  </w:style>
  <w:style w:type="paragraph" w:customStyle="1" w:styleId="12">
    <w:name w:val="style4"/>
    <w:basedOn w:val="1"/>
    <w:next w:val="13"/>
    <w:autoRedefine/>
    <w:qFormat/>
    <w:uiPriority w:val="0"/>
    <w:pPr>
      <w:spacing w:before="280" w:after="280"/>
    </w:pPr>
    <w:rPr>
      <w:rFonts w:ascii="宋体" w:eastAsia="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4">
    <w:name w:val="正文不空"/>
    <w:basedOn w:val="1"/>
    <w:autoRedefine/>
    <w:qFormat/>
    <w:uiPriority w:val="0"/>
    <w:pPr>
      <w:spacing w:line="360" w:lineRule="auto"/>
      <w:jc w:val="center"/>
    </w:pPr>
    <w:rPr>
      <w:rFonts w:ascii="Arial" w:hAnsi="Arial"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2023-12-25T01:44:00Z</dcterms:created>
  <dc:creator>Administrator</dc:creator>
  <cp:lastModifiedBy>黄俊敏</cp:lastModifiedBy>
  <dcterms:modified xsi:type="dcterms:W3CDTF">2024-03-08T06:11:31Z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5A1D0698BD604208AC399A46C7E5125F_11</vt:lpwstr>
  </property>
</Properties>
</file>